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920" w:x="509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DESIFOR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OXY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097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97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Wasserstoffperoxid-Lösung;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Essigsäure;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Peressigsäure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410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358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Gesundheitsschädlich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Einatmen.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358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Atemwege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ätzend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Atemwege.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358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Sehr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Erwärmung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3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Fremdstoffen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sorgfältig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Entnommenes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Fall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Gebinde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zurückgeben.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brennbaren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fernhalten.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gasdicht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verschließen.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verträglichen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Substanzen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Zersetzung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unterhalb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SADT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(Self-Accelerating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Decomposition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Temperature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=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Selbstbeschleunigende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Zersetzungstemperatur)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hervorrufen.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Ungeeignete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Aluminium,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Zink.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10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10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10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10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183" w:x="1592" w:y="11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183" w:x="1592" w:y="11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1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808" w:x="1592" w:y="11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2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3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3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4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4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421</Words>
  <Characters>3504</Characters>
  <Application>Aspose</Application>
  <DocSecurity>0</DocSecurity>
  <Lines>61</Lines>
  <Paragraphs>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2020-03-04T15:23:36+01:00</dcterms:created>
  <dcterms:modified xmlns:xsi="http://www.w3.org/2001/XMLSchema-instance" xmlns:dcterms="http://purl.org/dc/terms/" xsi:type="dcterms:W3CDTF">2020-03-04T15:23:36+01:00</dcterms:modified>
</coreProperties>
</file>