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440" w:x="533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RAPA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PEARL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75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339</Words>
  <Characters>2849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s.dargel</dc:creator>
  <lastModifiedBy>s.dargel</lastModifiedBy>
  <revision>1</revision>
  <dcterms:created xmlns:xsi="http://www.w3.org/2001/XMLSchema-instance" xmlns:dcterms="http://purl.org/dc/terms/" xsi:type="dcterms:W3CDTF">2020-07-08T08:10:19+02:00</dcterms:created>
  <dcterms:modified xmlns:xsi="http://www.w3.org/2001/XMLSchema-instance" xmlns:dcterms="http://purl.org/dc/terms/" xsi:type="dcterms:W3CDTF">2020-07-08T08:10:19+02:00</dcterms:modified>
</coreProperties>
</file>